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3E" w:rsidRPr="00265B20" w:rsidRDefault="00B64B3E" w:rsidP="00F640DB">
      <w:pPr>
        <w:pStyle w:val="a3"/>
        <w:rPr>
          <w:rFonts w:asciiTheme="majorBidi" w:hAnsiTheme="majorBidi" w:cstheme="majorBidi"/>
          <w:sz w:val="20"/>
          <w:szCs w:val="20"/>
          <w:rtl/>
        </w:rPr>
      </w:pPr>
      <w:r w:rsidRPr="00265B20">
        <w:rPr>
          <w:rFonts w:asciiTheme="majorBidi" w:hAnsiTheme="majorBidi" w:cstheme="majorBidi"/>
          <w:sz w:val="20"/>
          <w:szCs w:val="20"/>
          <w:rtl/>
        </w:rPr>
        <w:t xml:space="preserve">בס"ד, </w:t>
      </w:r>
      <w:r>
        <w:rPr>
          <w:rFonts w:asciiTheme="majorBidi" w:hAnsiTheme="majorBidi" w:cstheme="majorBidi" w:hint="cs"/>
          <w:sz w:val="20"/>
          <w:szCs w:val="20"/>
          <w:rtl/>
        </w:rPr>
        <w:t>כ"ג</w:t>
      </w:r>
      <w:r>
        <w:rPr>
          <w:rFonts w:asciiTheme="majorBidi" w:hAnsiTheme="majorBidi" w:cstheme="majorBidi"/>
          <w:sz w:val="20"/>
          <w:szCs w:val="20"/>
          <w:rtl/>
        </w:rPr>
        <w:t xml:space="preserve"> באייר התשע"</w:t>
      </w:r>
      <w:r>
        <w:rPr>
          <w:rFonts w:asciiTheme="majorBidi" w:hAnsiTheme="majorBidi" w:cstheme="majorBidi" w:hint="cs"/>
          <w:sz w:val="20"/>
          <w:szCs w:val="20"/>
          <w:rtl/>
        </w:rPr>
        <w:t>ה</w:t>
      </w:r>
    </w:p>
    <w:p w:rsidR="00B64B3E" w:rsidRDefault="00B64B3E" w:rsidP="00B64B3E">
      <w:pPr>
        <w:pStyle w:val="a3"/>
        <w:jc w:val="center"/>
        <w:rPr>
          <w:rFonts w:asciiTheme="majorBidi" w:hAnsiTheme="majorBidi" w:cstheme="majorBidi"/>
          <w:b/>
          <w:bCs/>
          <w:sz w:val="20"/>
          <w:szCs w:val="20"/>
          <w:rtl/>
        </w:rPr>
      </w:pPr>
    </w:p>
    <w:p w:rsidR="00B64B3E" w:rsidRPr="00F640DB" w:rsidRDefault="00F640DB" w:rsidP="00F640DB">
      <w:pPr>
        <w:pStyle w:val="a3"/>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ארץ אהבתי </w:t>
      </w:r>
      <w:r>
        <w:rPr>
          <w:rFonts w:asciiTheme="majorBidi" w:hAnsiTheme="majorBidi" w:cstheme="majorBidi"/>
          <w:b/>
          <w:bCs/>
          <w:sz w:val="20"/>
          <w:szCs w:val="20"/>
          <w:rtl/>
        </w:rPr>
        <w:t>–</w:t>
      </w:r>
      <w:r>
        <w:rPr>
          <w:rFonts w:asciiTheme="majorBidi" w:hAnsiTheme="majorBidi" w:cstheme="majorBidi" w:hint="cs"/>
          <w:b/>
          <w:bCs/>
          <w:sz w:val="20"/>
          <w:szCs w:val="20"/>
          <w:rtl/>
        </w:rPr>
        <w:t xml:space="preserve"> רשב"י וירושלים</w:t>
      </w:r>
    </w:p>
    <w:p w:rsidR="00B64B3E" w:rsidRPr="00F640DB" w:rsidRDefault="00F640DB" w:rsidP="00F640DB">
      <w:pPr>
        <w:pStyle w:val="a3"/>
        <w:jc w:val="center"/>
        <w:rPr>
          <w:rFonts w:asciiTheme="majorBidi" w:hAnsiTheme="majorBidi" w:cstheme="majorBidi"/>
          <w:b/>
          <w:bCs/>
          <w:sz w:val="20"/>
          <w:szCs w:val="20"/>
          <w:rtl/>
        </w:rPr>
      </w:pPr>
      <w:r>
        <w:rPr>
          <w:rFonts w:asciiTheme="majorBidi" w:hAnsiTheme="majorBidi" w:cstheme="majorBidi" w:hint="cs"/>
          <w:b/>
          <w:bCs/>
          <w:sz w:val="20"/>
          <w:szCs w:val="20"/>
          <w:rtl/>
        </w:rPr>
        <w:t>עם חבורת ימי שלישי</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b/>
          <w:bCs/>
          <w:sz w:val="20"/>
          <w:szCs w:val="20"/>
          <w:rtl/>
        </w:rPr>
        <w:t>תהלים פרק קכב</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(א) שִׁיר הַמַּעֲלוֹת לְדָוִד שָׂמַחְתִּי בְּאֹמְרִים לִי בֵּית יְקֹוָק נֵלֵךְ:</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 xml:space="preserve">(ב) </w:t>
      </w:r>
      <w:r w:rsidRPr="00265B20">
        <w:rPr>
          <w:rFonts w:asciiTheme="majorBidi" w:hAnsiTheme="majorBidi" w:cstheme="majorBidi"/>
          <w:b/>
          <w:bCs/>
          <w:sz w:val="20"/>
          <w:szCs w:val="20"/>
          <w:rtl/>
        </w:rPr>
        <w:t>עֹמְדוֹת הָיוּ רַגְלֵינוּ בִּשְׁעָרַיִךְ יְרוּשָׁלִָם:</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(ג) יְרוּשָׁלִַם הַבְּנוּיָה כְּעִיר שֶׁחֻבְּרָה לָּהּ יַחְדָּו:</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(ד) שֶׁשָּׁם עָלוּ שְׁבָטִים שִׁבְטֵי יָהּ עֵדוּת לְיִשְׂרָאֵל לְהֹדוֹת לְשֵׁם יְקֹוָק:</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 xml:space="preserve">(ה) </w:t>
      </w:r>
      <w:r w:rsidRPr="00265B20">
        <w:rPr>
          <w:rFonts w:asciiTheme="majorBidi" w:hAnsiTheme="majorBidi" w:cstheme="majorBidi"/>
          <w:b/>
          <w:bCs/>
          <w:sz w:val="20"/>
          <w:szCs w:val="20"/>
          <w:rtl/>
        </w:rPr>
        <w:t>כִּי שָׁמָּה יָשְׁבוּ כִסְאוֹת לְמִשְׁפָּט כִּסְאוֹת לְבֵית דָּוִיד:</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(ו) שַׁאֲלוּ שְׁלוֹם יְרוּשָׁלִָם יִשְׁלָיוּ אֹהֲבָיִךְ:</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(ז) יְהִי שָׁלוֹם בְּחֵילֵךְ שַׁלְוָה בְּאַרְמְנוֹתָיִךְ:</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(ח) לְמַעַן אַחַי וְרֵעָי אֲדַבְּרָה נָּא שָׁלוֹם בָּךְ:</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(ט) לְמַעַן בֵּית יְקֹוָק אֱלֹהֵינוּ אֲבַקְשָׁה טוֹב לָךְ:</w:t>
      </w:r>
    </w:p>
    <w:p w:rsidR="00B64B3E" w:rsidRPr="00265B20" w:rsidRDefault="00B64B3E" w:rsidP="00B64B3E">
      <w:pPr>
        <w:pStyle w:val="a3"/>
        <w:rPr>
          <w:rStyle w:val="HebrewChar"/>
          <w:rFonts w:asciiTheme="majorBidi" w:hAnsiTheme="majorBidi" w:cstheme="majorBidi"/>
          <w:b/>
          <w:bCs/>
          <w:sz w:val="20"/>
          <w:szCs w:val="20"/>
          <w:rtl/>
        </w:rPr>
      </w:pPr>
    </w:p>
    <w:p w:rsidR="00B64B3E" w:rsidRPr="00265B20" w:rsidRDefault="00B64B3E" w:rsidP="00B64B3E">
      <w:pPr>
        <w:pStyle w:val="a3"/>
        <w:rPr>
          <w:rFonts w:asciiTheme="majorBidi" w:hAnsiTheme="majorBidi" w:cstheme="majorBidi"/>
          <w:b/>
          <w:bCs/>
          <w:sz w:val="20"/>
          <w:szCs w:val="20"/>
          <w:rtl/>
        </w:rPr>
      </w:pP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b/>
          <w:bCs/>
          <w:sz w:val="20"/>
          <w:szCs w:val="20"/>
          <w:rtl/>
        </w:rPr>
        <w:t xml:space="preserve">שנאת חינם-אהבת חינם: קובץ ח </w:t>
      </w:r>
      <w:r w:rsidRPr="00265B20">
        <w:rPr>
          <w:rFonts w:asciiTheme="majorBidi" w:hAnsiTheme="majorBidi" w:cstheme="majorBidi"/>
          <w:sz w:val="20"/>
          <w:szCs w:val="20"/>
          <w:rtl/>
        </w:rPr>
        <w:t xml:space="preserve">מז. הבינה והציור, המדע והחפץ, הלא רק שביבים קטנים הם מאוצר החיים, האוצר בעצמו מלא הוא במילוי אין חקר בעומק נורא. העזיזות של החיים, המתגלה בחפץ החיים, שכל החפצים הם תולדותיה, חזקה היא מאד בחסנה, צורתה קבועה היא, כל הצורות הרוחניות מתטבעות על פי אותה המטבעה הספונה בקרבה פנימה. כשיוצאת מריבה בין כח לכח, בין איש לאיש, בין עם לעם, בין עולם לעולם, המריבה בתוכנה היא תוצאה מהשינוי והניגוד שיש בעצמיות של אוצר החיים. מעט מאד הוא הערך של יסודי ההתנגדות, שהם מתבטאים בבינה ופירוט מדעי, כל אלה הם סימנים קלים, שמפני חולשת ההכרה הם מתבטאים בתור סבות ודרישות. אבל היסוד העליון הוא שנאת החנם, שאוצר החיים מבטא למה שהוא מנגדו. ויצרא דשנאת חנם זה חובק בתוכו את סתר האהבה, שהיא גם כן כמותה אהבת חנם, שאור השלום והאושר רק בה הוא גנוז. וכל הנימוקים, המתגלים בגילוי הגיוני ובמערכה צורתית מתוארה, הם רק ניצוצות קלים, שמתוך שאין הספירה המוגבלה של עמדת חיי האדם בהוה יכולה לקבל את שיגוב האור של האוצר במילוי תוכיותו, מסתפק הוא בציורים קלושים, שמכילים רק צללים כהים של המקוריות, אשר לאהבת החנם ושנאת החנם, שיסודן הוא שנאו רע ואהבו טוב. וכאשר עומק הרע ורוממות שרשו הרי הוא עומק הטוב, נמצא שעומק השנאה הרי הוא עומק האהבה. ואם נחרבנו, ונחרב העולם עמנו, על ידי שנאת חנם, נשוב להבנות, והעולם עמנו יבנה, על ידי אהבת חנם, היורדת מראש צורים, וחנתי את אשר אחן ורחמתי את אשר ארחם, שהיא התיאוריה הנאמנה של העברת כל הטוב על פניו, של זה האיש משה. אבל </w:t>
      </w:r>
      <w:r>
        <w:rPr>
          <w:rFonts w:asciiTheme="majorBidi" w:hAnsiTheme="majorBidi" w:cstheme="majorBidi" w:hint="cs"/>
          <w:sz w:val="20"/>
          <w:szCs w:val="20"/>
          <w:rtl/>
        </w:rPr>
        <w:t xml:space="preserve"> </w:t>
      </w:r>
      <w:r w:rsidRPr="00265B20">
        <w:rPr>
          <w:rFonts w:asciiTheme="majorBidi" w:hAnsiTheme="majorBidi" w:cstheme="majorBidi"/>
          <w:sz w:val="20"/>
          <w:szCs w:val="20"/>
          <w:rtl/>
        </w:rPr>
        <w:t>תיכף בהולדו בא הטוב עמו, ותרא אותו כי טוב הוא, יבא טוב ויקבל טוב מטוב לטובים.</w:t>
      </w:r>
      <w:r w:rsidRPr="00265B20">
        <w:rPr>
          <w:rFonts w:asciiTheme="majorBidi" w:hAnsiTheme="majorBidi" w:cstheme="majorBidi" w:hint="cs"/>
          <w:sz w:val="20"/>
          <w:szCs w:val="20"/>
          <w:rtl/>
        </w:rPr>
        <w:t xml:space="preserve"> </w:t>
      </w:r>
    </w:p>
    <w:p w:rsidR="00B64B3E" w:rsidRDefault="00B64B3E" w:rsidP="00B64B3E">
      <w:pPr>
        <w:pStyle w:val="a3"/>
        <w:rPr>
          <w:rFonts w:asciiTheme="majorBidi" w:hAnsiTheme="majorBidi" w:cstheme="majorBidi"/>
          <w:b/>
          <w:bCs/>
          <w:sz w:val="20"/>
          <w:szCs w:val="20"/>
          <w:rtl/>
        </w:rPr>
      </w:pPr>
    </w:p>
    <w:p w:rsidR="00B64B3E" w:rsidRPr="00265B20" w:rsidRDefault="00B64B3E" w:rsidP="00B64B3E">
      <w:pPr>
        <w:pStyle w:val="a3"/>
        <w:rPr>
          <w:rFonts w:asciiTheme="majorBidi" w:hAnsiTheme="majorBidi" w:cstheme="majorBidi"/>
          <w:b/>
          <w:bCs/>
          <w:sz w:val="20"/>
          <w:szCs w:val="20"/>
          <w:rtl/>
        </w:rPr>
      </w:pPr>
      <w:r w:rsidRPr="00265B20">
        <w:rPr>
          <w:rFonts w:asciiTheme="majorBidi" w:hAnsiTheme="majorBidi" w:cstheme="majorBidi"/>
          <w:b/>
          <w:bCs/>
          <w:sz w:val="20"/>
          <w:szCs w:val="20"/>
          <w:rtl/>
        </w:rPr>
        <w:t>הסתלקותו של רשב"י  - גילוי סוד ציון  וירושלים: זוהר - האדרא זוטא כרך ג (דברים) פרשת האזינו [דף רצו עמוד א]:</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...כתיב (תהלים קלב) כי בחר יי' בציון איווה למושב לו...האי מטרוניתא כד אתחברת עם מלכא כל עלמין מתברכן ואשתכחו בחדוותא דכלא כמה דדכורא כליל בתלתא ושירותא בתלתא, כך כלא הכי וסיומא דכל גופא הכי ומטרוניתא לא מתברכא אלא בכללא דתלתא אלין דאינון נצח הוד יסוד ומתבסמא ומתברכא באתר דאקרי קדש הקדשים דלתתא דכתיב (תהלים קלג) כי שם צוה יי' את הברכה דהא תרין דרגין אינון לעילא ותתא, ובגין כך לית רשותא למיעל תמן בר כהנא רבא דאתי מן סטרא דחסד בגין דלא עייל לההוא אתר דלעילא אלא ההוא דאקרי חסד ועייל בקדש הקדשים. ומתבסמת נוקבא ומתברכא האי קדש הקדשים בגו לגו אתר דאקרי ציון. ציון וירושלם תרין דרגין אינון, חד רחמי וחד דינא. ציון דכתיב (ישעיה א) ציון במשפט תפדה, ירושלם דכתיב (שם) צדק ילין בה כמה דאוקימנא וכל תיאובתא דדכורא לגבי נוקבא הכא הוא וקרינן להו ברכה דמתמן נפקי ברכן לכלהו עלמין וכלהו מתברכן...</w:t>
      </w:r>
    </w:p>
    <w:p w:rsidR="00B64B3E" w:rsidRPr="00265B20" w:rsidRDefault="00B64B3E" w:rsidP="00B64B3E">
      <w:pPr>
        <w:pStyle w:val="a3"/>
        <w:rPr>
          <w:rFonts w:asciiTheme="majorBidi" w:hAnsiTheme="majorBidi" w:cstheme="majorBidi"/>
          <w:sz w:val="20"/>
          <w:szCs w:val="20"/>
          <w:rtl/>
        </w:rPr>
      </w:pPr>
      <w:r w:rsidRPr="00265B20">
        <w:rPr>
          <w:rFonts w:asciiTheme="majorBidi" w:hAnsiTheme="majorBidi" w:cstheme="majorBidi"/>
          <w:sz w:val="20"/>
          <w:szCs w:val="20"/>
          <w:rtl/>
        </w:rPr>
        <w:t>א"ר אבא לא סיים בוצינא קדישא למימר חיים עד דאשתככו מלוי ואנא כתבנא סברנא למכתב טפי ולא שמענא ולא זקיפנא רישא דנהורא הוה סגי ולא הוה יכילנא לאסתכלא אדהכי אזדעזענא שמענא קלא דקארי ואמר (משלי ג) ארך ימים ושנות חיים וגו', שמענא קלא אחרא (תהלים כא) חיים שאל ממך וגו', כל ההוא יומא לא אפסיק אשא מן ביתא ולא הוה מאן דמטי לגביה דלא יכילו דנהורא ואשא הוה בסוחרניה...</w:t>
      </w:r>
    </w:p>
    <w:p w:rsidR="00B64B3E" w:rsidRPr="00265B20" w:rsidRDefault="00B64B3E" w:rsidP="00B64B3E">
      <w:pPr>
        <w:pStyle w:val="a3"/>
        <w:rPr>
          <w:rFonts w:asciiTheme="majorBidi" w:hAnsiTheme="majorBidi" w:cstheme="majorBidi"/>
          <w:sz w:val="20"/>
          <w:szCs w:val="20"/>
          <w:rtl/>
        </w:rPr>
      </w:pPr>
    </w:p>
    <w:p w:rsidR="00B64B3E" w:rsidRDefault="00B64B3E" w:rsidP="00B64B3E">
      <w:pPr>
        <w:pStyle w:val="a3"/>
        <w:rPr>
          <w:rFonts w:cs="Narkisim"/>
          <w:bCs/>
          <w:color w:val="0000FF"/>
          <w:szCs w:val="36"/>
          <w:rtl/>
        </w:rPr>
      </w:pPr>
      <w:r w:rsidRPr="00265B20">
        <w:rPr>
          <w:rFonts w:asciiTheme="majorBidi" w:hAnsiTheme="majorBidi" w:cstheme="majorBidi"/>
          <w:b/>
          <w:bCs/>
          <w:sz w:val="20"/>
          <w:szCs w:val="20"/>
          <w:rtl/>
        </w:rPr>
        <w:lastRenderedPageBreak/>
        <w:t xml:space="preserve">זוהר כרך ג (ויקרא) פרשת בהר [דף קי עמוד ב] </w:t>
      </w:r>
      <w:r w:rsidRPr="00265B20">
        <w:rPr>
          <w:rFonts w:asciiTheme="majorBidi" w:hAnsiTheme="majorBidi" w:cstheme="majorBidi"/>
          <w:sz w:val="20"/>
          <w:szCs w:val="20"/>
          <w:rtl/>
        </w:rPr>
        <w:t>וכי תאמרו מה נאכל וגו', ר' יהודה פתח (תהלים לז) בטח ביי' ועשה טוב שכן ארץ ורעה אמונה, לעולם ב"נ יהא זהיר במאריה וידבק לביה במהימנותא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עלאה בגין דיהוי שלים במאריה, דכדיהוי שלים ביה לא יכליןלאבאשא ליה כל בני עלמא, ת"ח בטח ביי' ועשה טוב מאי ועשה טוב אלא הכי תנינן בעובדא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דלתתא</w:t>
      </w:r>
      <w:r>
        <w:rPr>
          <w:rFonts w:asciiTheme="majorBidi" w:hAnsiTheme="majorBidi" w:cstheme="majorBidi" w:hint="cs"/>
          <w:sz w:val="20"/>
          <w:szCs w:val="20"/>
          <w:rtl/>
        </w:rPr>
        <w:t xml:space="preserve">  </w:t>
      </w:r>
      <w:r w:rsidRPr="00265B20">
        <w:rPr>
          <w:rFonts w:asciiTheme="majorBidi" w:hAnsiTheme="majorBidi" w:cstheme="majorBidi"/>
          <w:sz w:val="20"/>
          <w:szCs w:val="20"/>
          <w:rtl/>
        </w:rPr>
        <w:t>יתער</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עובדא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דלעילא והא אוקמוה, ועשיתם אותם כביכול אתון תעבדון להון, בגין דבההוא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אתערותא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דלכון</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דאתון עבדין לתתא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אתער לעילא ועל דא ועשה טוב כתיב, ואין טוב אלא צדיק דכתיב (ישעיה ג) אמרו צדיק כי טוב, כיון דאתון עבדין האי ודאי האי טוב יתער כדין שכן ארץ ודעה אמונה וכלא חד, שכן ארץ ארץ עלאה, דהא לית לך בעלמא דיכוללמשרי בהדה עד דיתער האי טוב לגבה, כיון דיתער ליה כביכול הוא עביד ליה וכדין שכן ארץ שרי בגווה איכול איבה אשתעשע בהדה, ורעה אמונה, דא ארץ וכלא חד כמה דאת אמר (תהלים צב) ואמונתך בלילות, ורעה אמונה הוי דבר לה בכל רעותך, ואי לא תתער לקבלה האי טוב אתרחק מנה ולא תקרב בהדה לא תקרב לגו אתון נורא יקידתא ואי תקרב בהדה בדחילו כמאן דדחיל מן מותא, דהא כדין נורא דליק ואוקיד עלמא בשלהובוי וכיון דאתער לקבלה האי טוב כדין שארי בגווה ולא תדחל מנה אנת כדין (איוב כב) ותגזר אומר ויקם לך ועל דרכיך נגה אור, ת"ח בני מהימנותא מדברי להאי</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לרעותהון בכל יומא, מאן אינון בני מהימנותא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אינוןדמתערי האי טוב לקבליה ולא חס על דיליה וידעי דהא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קודשא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בריך הוא יהיב ליה יתיר כמה דאת אמר (משלי יא) יש מפזר ונוסף עוד, מ"ט בגין דהאי</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אתער</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ברכאן לקבליה, ולא יימא אי אתן האי השתא מאי אעביד למחר, אלא קודשא</w:t>
      </w:r>
      <w:r w:rsidRPr="00265B20">
        <w:rPr>
          <w:rFonts w:asciiTheme="majorBidi" w:hAnsiTheme="majorBidi" w:cstheme="majorBidi" w:hint="cs"/>
          <w:sz w:val="20"/>
          <w:szCs w:val="20"/>
          <w:rtl/>
        </w:rPr>
        <w:t xml:space="preserve"> </w:t>
      </w:r>
      <w:r w:rsidRPr="00265B20">
        <w:rPr>
          <w:rFonts w:asciiTheme="majorBidi" w:hAnsiTheme="majorBidi" w:cstheme="majorBidi"/>
          <w:sz w:val="20"/>
          <w:szCs w:val="20"/>
          <w:rtl/>
        </w:rPr>
        <w:t xml:space="preserve">בריך הוא יהיב ליה ברכאן עד בלי די כמה דאוקמוה ובגין כך וכי תאמרו מה נאכל בשנה השביעית וגו' מה כתיב וצויתי את ברכתי לכם בשנה הששית, ועשת את התבואה לשלש השנים, ועשת ועשתה מבעי ליה, מאי ועשת, אלא לאפקא ה' דאית לה שמטה ונייחא ולא עביד עבידתא, כתיב (שמות טז) ראו כי יי' וגו' נותן לכם ביום הששי לחם יומים וגו', כגוונא דא וצויתי את ברכתי לכם בשנה הששית וגו': </w:t>
      </w:r>
    </w:p>
    <w:p w:rsidR="00B64B3E" w:rsidRDefault="00B64B3E" w:rsidP="00B64B3E">
      <w:pPr>
        <w:pStyle w:val="a3"/>
        <w:rPr>
          <w:rFonts w:cs="Narkisim"/>
          <w:bCs/>
          <w:color w:val="0000FF"/>
          <w:szCs w:val="36"/>
          <w:rtl/>
        </w:rPr>
      </w:pPr>
    </w:p>
    <w:p w:rsidR="00B64B3E" w:rsidRPr="00D675F5" w:rsidRDefault="00B64B3E" w:rsidP="00B64B3E">
      <w:pPr>
        <w:pStyle w:val="a3"/>
        <w:rPr>
          <w:rFonts w:asciiTheme="majorBidi" w:hAnsiTheme="majorBidi" w:cstheme="majorBidi"/>
          <w:sz w:val="20"/>
          <w:szCs w:val="20"/>
          <w:rtl/>
        </w:rPr>
      </w:pPr>
      <w:r>
        <w:rPr>
          <w:rFonts w:asciiTheme="majorBidi" w:hAnsiTheme="majorBidi" w:cstheme="majorBidi"/>
          <w:b/>
          <w:bCs/>
          <w:sz w:val="20"/>
          <w:szCs w:val="20"/>
          <w:rtl/>
        </w:rPr>
        <w:t xml:space="preserve">שבת הארץ / מבוא / </w:t>
      </w:r>
      <w:r>
        <w:rPr>
          <w:rFonts w:asciiTheme="majorBidi" w:hAnsiTheme="majorBidi" w:cstheme="majorBidi" w:hint="cs"/>
          <w:b/>
          <w:bCs/>
          <w:sz w:val="20"/>
          <w:szCs w:val="20"/>
          <w:rtl/>
        </w:rPr>
        <w:t xml:space="preserve">עמ' סג </w:t>
      </w:r>
      <w:r>
        <w:rPr>
          <w:rFonts w:asciiTheme="majorBidi" w:hAnsiTheme="majorBidi" w:cstheme="majorBidi" w:hint="cs"/>
          <w:sz w:val="20"/>
          <w:szCs w:val="20"/>
          <w:rtl/>
        </w:rPr>
        <w:t>...</w:t>
      </w:r>
      <w:r w:rsidRPr="00D675F5">
        <w:rPr>
          <w:rFonts w:asciiTheme="majorBidi" w:hAnsiTheme="majorBidi" w:cstheme="majorBidi"/>
          <w:sz w:val="20"/>
          <w:szCs w:val="20"/>
          <w:rtl/>
        </w:rPr>
        <w:t xml:space="preserve">ואם כך היא המדה גם ביחש הפרט של כל יחיד ויחיד, שמחויב הוא בודאי בכל כחו ואונו להוציא מן-הכח-אל-הפעל את חיוב התשוקה, לבא להאחז בארץ ישראל, ולא ישקע את עצמו בארץ-העמים, אשר "בגוים אין תורה" (ספרי פ' עקב) ו"דומה כמי שאין לו אלוה" ו"ישראל שבחוץ-לארץ עובדי עבודה זרה בטהרה הם", - כמה כפולה ומכופלת היא לאין שיעור וערך המצוה הגדולה הזאת ביחש אל הכלל ! על-כן בכל עת אשר אנו רואים, שמתחילים ישראל לשום לבם לשוב לארץ-ישראל, והם מוציאים לפעל את תשוקת לבבם זאת במכסת נפשות, עדה וקהל, אנו מכירים בזה יד ד' שהואיל לזכות את ישראל במצוה הגדולה הזאת, השקולה כנגד כל המצות שבתורה מצד עצם-עצמותה. ואם יזדמן, שע"י חיוב של איזו מהמצות התלויות בארץ יכבד ענין הישיבה בארץ, לפי המצב הדחוק והפרנסה המצומצמת, - אשר כך היא המדה בתחילת התנוצצות אור גאולה וישועה, כדכתיב: "כי עם בציון ישב בירושלים בכו לא תבכה חנון יחנך לקול זעקך, כשמעתו ענך. ונתן לכם ד' לחם- צר ומים-לחץ ולא יכנף עוד מוריך, והיו עיניך רואות את מוריך", - באופן, שע"י מניעת ההפקעה של איזו מצוה או מניעת הוראה לקולא, במה שהוא אפשר ע"פ גדרי תורה, יבא ביטול או עיכוב לענין המצוה הגדולה והכללית של ישיבת ארץ-ישראל, - אז בודאי חיובא רמיא על כל בעל-הוראה, להיות עיניו ולבו </w:t>
      </w:r>
      <w:r>
        <w:rPr>
          <w:rFonts w:asciiTheme="majorBidi" w:hAnsiTheme="majorBidi" w:cstheme="majorBidi"/>
          <w:sz w:val="20"/>
          <w:szCs w:val="20"/>
          <w:rtl/>
        </w:rPr>
        <w:t xml:space="preserve">תמיד בטובתם של ישראל, ולא לחוש </w:t>
      </w:r>
      <w:r>
        <w:rPr>
          <w:rFonts w:asciiTheme="majorBidi" w:hAnsiTheme="majorBidi" w:cstheme="majorBidi" w:hint="cs"/>
          <w:sz w:val="20"/>
          <w:szCs w:val="20"/>
          <w:rtl/>
        </w:rPr>
        <w:t>כ</w:t>
      </w:r>
      <w:r w:rsidRPr="00D675F5">
        <w:rPr>
          <w:rFonts w:asciiTheme="majorBidi" w:hAnsiTheme="majorBidi" w:cstheme="majorBidi"/>
          <w:sz w:val="20"/>
          <w:szCs w:val="20"/>
          <w:rtl/>
        </w:rPr>
        <w:t>לל למה שמפקיעים לשעה איזו מצוה מפני ההכרח: כי-סוף-כל-סוף ישיבת ארץ ישראל מצד-עצמה היא שקולה כנגד כל המצות. ולא עוד אלא, שהמשכת</w:t>
      </w:r>
      <w:r>
        <w:rPr>
          <w:rFonts w:asciiTheme="majorBidi" w:hAnsiTheme="majorBidi" w:cstheme="majorBidi"/>
          <w:sz w:val="20"/>
          <w:szCs w:val="20"/>
          <w:rtl/>
        </w:rPr>
        <w:t xml:space="preserve">ם של ישראל לבא לארץ-ישראל, היא </w:t>
      </w:r>
      <w:r w:rsidRPr="00D675F5">
        <w:rPr>
          <w:rFonts w:asciiTheme="majorBidi" w:hAnsiTheme="majorBidi" w:cstheme="majorBidi"/>
          <w:sz w:val="20"/>
          <w:szCs w:val="20"/>
          <w:rtl/>
        </w:rPr>
        <w:t xml:space="preserve">הגורם היסודי לכל התשועות ולכל הקדושות, אשר הוא יביא ממילא, בכלל כללות ישועתם של ישראל, לקיום כל המצות שבתורה כלן ומצות התלויות בארץ בפרט, במעלה קדושה מאד, שאי אפשר לחשוב </w:t>
      </w:r>
      <w:r>
        <w:rPr>
          <w:rFonts w:asciiTheme="majorBidi" w:hAnsiTheme="majorBidi" w:cstheme="majorBidi"/>
          <w:sz w:val="20"/>
          <w:szCs w:val="20"/>
          <w:rtl/>
        </w:rPr>
        <w:t>על דוגמתה כלל בטומאת ארץ העמים</w:t>
      </w:r>
      <w:r>
        <w:rPr>
          <w:rFonts w:asciiTheme="majorBidi" w:hAnsiTheme="majorBidi" w:cstheme="majorBidi" w:hint="cs"/>
          <w:sz w:val="20"/>
          <w:szCs w:val="20"/>
          <w:rtl/>
        </w:rPr>
        <w:t>...</w:t>
      </w:r>
    </w:p>
    <w:p w:rsidR="00B64B3E" w:rsidRPr="00D675F5" w:rsidRDefault="00B64B3E" w:rsidP="00B64B3E">
      <w:pPr>
        <w:pStyle w:val="a3"/>
        <w:rPr>
          <w:rFonts w:asciiTheme="majorBidi" w:hAnsiTheme="majorBidi" w:cstheme="majorBidi"/>
          <w:sz w:val="20"/>
          <w:szCs w:val="20"/>
          <w:rtl/>
        </w:rPr>
      </w:pPr>
    </w:p>
    <w:p w:rsidR="00B64B3E" w:rsidRPr="00265B20" w:rsidRDefault="00B64B3E" w:rsidP="00B64B3E">
      <w:pPr>
        <w:pStyle w:val="a3"/>
        <w:rPr>
          <w:rFonts w:asciiTheme="majorBidi" w:hAnsiTheme="majorBidi" w:cstheme="majorBidi"/>
          <w:sz w:val="20"/>
          <w:szCs w:val="20"/>
        </w:rPr>
      </w:pPr>
    </w:p>
    <w:p w:rsidR="00B64B3E" w:rsidRPr="007515E1" w:rsidRDefault="00B64B3E" w:rsidP="00B64B3E"/>
    <w:p w:rsidR="0008118E" w:rsidRDefault="0008118E"/>
    <w:sectPr w:rsidR="0008118E" w:rsidSect="00D675F5">
      <w:headerReference w:type="default" r:id="rId4"/>
      <w:pgSz w:w="11906" w:h="16838"/>
      <w:pgMar w:top="720" w:right="720" w:bottom="720" w:left="720" w:header="708" w:footer="708"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06189"/>
      <w:docPartObj>
        <w:docPartGallery w:val="Page Numbers (Top of Page)"/>
        <w:docPartUnique/>
      </w:docPartObj>
    </w:sdtPr>
    <w:sdtEndPr/>
    <w:sdtContent>
      <w:p w:rsidR="00FA7F56" w:rsidRDefault="00F640DB">
        <w:pPr>
          <w:pStyle w:val="a4"/>
          <w:jc w:val="center"/>
        </w:pPr>
        <w:r>
          <w:fldChar w:fldCharType="begin"/>
        </w:r>
        <w:r>
          <w:instrText xml:space="preserve"> PAGE   \* MERGEFORMAT </w:instrText>
        </w:r>
        <w:r>
          <w:fldChar w:fldCharType="separate"/>
        </w:r>
        <w:r w:rsidRPr="00F640DB">
          <w:rPr>
            <w:rFonts w:cs="Calibri"/>
            <w:noProof/>
            <w:rtl/>
            <w:lang w:val="he-IL"/>
          </w:rPr>
          <w:t>1</w:t>
        </w:r>
        <w:r>
          <w:fldChar w:fldCharType="end"/>
        </w:r>
      </w:p>
    </w:sdtContent>
  </w:sdt>
  <w:p w:rsidR="00FA7F56" w:rsidRDefault="00F640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B64B3E"/>
    <w:rsid w:val="00005F8A"/>
    <w:rsid w:val="0008118E"/>
    <w:rsid w:val="00B64B3E"/>
    <w:rsid w:val="00CF21FD"/>
    <w:rsid w:val="00D6099C"/>
    <w:rsid w:val="00F545CA"/>
    <w:rsid w:val="00F640D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3E"/>
    <w:pPr>
      <w:bidi/>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4B3E"/>
    <w:pPr>
      <w:bidi/>
      <w:spacing w:after="0" w:line="240" w:lineRule="auto"/>
    </w:pPr>
    <w:rPr>
      <w:rFonts w:asciiTheme="minorHAnsi" w:hAnsiTheme="minorHAnsi" w:cstheme="minorBidi"/>
      <w:sz w:val="22"/>
      <w:szCs w:val="22"/>
    </w:rPr>
  </w:style>
  <w:style w:type="paragraph" w:styleId="a4">
    <w:name w:val="header"/>
    <w:basedOn w:val="a"/>
    <w:link w:val="a5"/>
    <w:uiPriority w:val="99"/>
    <w:unhideWhenUsed/>
    <w:rsid w:val="00B64B3E"/>
    <w:pPr>
      <w:tabs>
        <w:tab w:val="center" w:pos="4153"/>
        <w:tab w:val="right" w:pos="8306"/>
      </w:tabs>
      <w:spacing w:after="0" w:line="240" w:lineRule="auto"/>
    </w:pPr>
  </w:style>
  <w:style w:type="character" w:customStyle="1" w:styleId="a5">
    <w:name w:val="כותרת עליונה תו"/>
    <w:basedOn w:val="a0"/>
    <w:link w:val="a4"/>
    <w:uiPriority w:val="99"/>
    <w:rsid w:val="00B64B3E"/>
    <w:rPr>
      <w:rFonts w:asciiTheme="minorHAnsi" w:hAnsiTheme="minorHAnsi" w:cstheme="minorBidi"/>
      <w:sz w:val="22"/>
      <w:szCs w:val="22"/>
    </w:rPr>
  </w:style>
  <w:style w:type="character" w:customStyle="1" w:styleId="HebrewChar">
    <w:name w:val="Hebrew_Char"/>
    <w:rsid w:val="00B64B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1105</Words>
  <Characters>5529</Characters>
  <Application>Microsoft Office Word</Application>
  <DocSecurity>0</DocSecurity>
  <Lines>46</Lines>
  <Paragraphs>13</Paragraphs>
  <ScaleCrop>false</ScaleCrop>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2015-05-11T20:40:00Z</dcterms:created>
  <dcterms:modified xsi:type="dcterms:W3CDTF">2015-05-11T20:42:00Z</dcterms:modified>
</cp:coreProperties>
</file>