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ותחפושות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חימום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טענדא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ותחפושות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פוזות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ותדמיות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אריכתא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מרחב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מבודחים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ולגעת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בנקודות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כוכבי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שסיפר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ותבעו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הרחובות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לצדקה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ולקח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לצדקה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ייעשו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התכריכין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חתיכה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הספיק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שהכריחו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הקטנה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התדמית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הגינונים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ומלבושי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הפארודית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בבגדי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הרצינית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בפתחנו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נוקבים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שיהפכו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שיעשו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ילכד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בתדמית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ובמחויבויות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מקסמי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מאוהבים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בדימוי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בלעדיו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תדמית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נאלצים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ולהיענות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לדימוי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שיצרו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והזעיף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מהמלכודת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הכרוכה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בעמדה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ההתחפשות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התדמיות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עוזרים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להיתפס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שמיחסים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אופקים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התחפושות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משחררת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מבודחת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שמפרק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הרצינית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ההבחנה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התחפושת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”.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השעשוע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להגחיך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מיסודה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בבגדי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האמיתיות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מדמיין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בתחושת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שמופנה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בחלקו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תכריכים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בודק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עטוף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המקאברית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התפקידים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האנושיים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לשחרר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מהלבושים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הרעים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קרליבך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מהפרספקטיבה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וכשדיבר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?'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לסעודת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וחזק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צועק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צעק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ושאג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שתשיג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לרחוב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לצעוק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וצעק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משובח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בדיבורו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וצעק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מעדנים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כרגיל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ואשתו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לצעוק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וצעק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הסתכלה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לחגוג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ארגן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הסעודה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הסעודה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וההסתרות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ומבקש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באיזושהי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הנעבעכי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שטבועה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הקבצן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לצעוק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הקבצן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בוטח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להתנער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מהסתמיות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הקבצן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להחליף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להכניס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והממלכדת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קרליבך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ההתחפשות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ולבושים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נפלאה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מלובלין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ללבושם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ולפיכך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וקאמר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דמציינו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דמציינו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המצויינים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דרכיו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וענייניו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מצויינים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ומסומנים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מענייני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ירפרף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בענייניו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יכונו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זיקי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מחשבתו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דבורו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ומעשיו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דמצויינין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הליטאי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חשיבתו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סולובייצ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הקלאסיות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לפרדיגמות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הצינור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מתמודד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ממוקדי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קראתי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ריאיון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ביממה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בצדק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מכוונת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והאווירה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ודרשות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חסרונות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החומריי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חומרי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נקראו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הבדים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פשתן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התבלין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המציינת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ומסמנת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תבלין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מבואר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מסיעה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מהרהורי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ותענוגיו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וחמדותיו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שיגיעת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משכחת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הכהנים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יגיעת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משכחה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טינופות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טינופות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נשכחים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מתמודדים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השכחתו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טינופות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מאבק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וסטרילית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הפיתויים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והקליפות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כטיפוס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מתקרי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הכובש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יצרו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וכבישה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ומלחמה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הגיבורים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המנצחים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ההסעה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ניצוח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לנצחו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ולבושם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כתלג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שיגיעת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משכחת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במלחמה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שנתבאר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המלאכים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ששוקד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וחומרו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מתאווה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שחומרו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מגביה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המלבישה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מנחת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להתלבש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מצויינת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הבושה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בנדרים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פניכם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תחטאו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הבושה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החילוק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שקדנים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שוקדים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מדרשות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ומעט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עוסקים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בהשגת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וכידוע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דאגדתא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המצויינים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ההגדות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המביאים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שמתוכם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וההשויה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נתעסקו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פלסטי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הבגדים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מאבק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בכאוס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התאוות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מדחיק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נאבק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נתיבים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המבוססים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ספיריטואליסטית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אמצעית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שמקורה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ההמצאות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באווירא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השגחה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אמצעית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ניקיון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טהרה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השוקדים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וממעטים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קירבת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האחוזים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ויצריו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למלאכיות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המבטאת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ניכור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וריחוק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מאבקי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קלאסי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שיונק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הוויטאליות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להסתייג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מחלוקות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בינאריות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שמקטלגים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להתחייב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כיהודים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ולבושי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הכופרים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ובמדרשים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יצירתו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בתחומי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הקיומיות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האגדה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ככניסה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נאלץ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החדשות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מהתקופה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הנועזת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השאלות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מאמינים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קטני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נוהג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באישים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פרטיים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באמונתו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יחיה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המאמינים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לטיפוס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למפגש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המשכילים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פטרנליסטי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עוררה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באפקט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יקלקלו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שנכתבו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קטני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בנשמתם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הגבורה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וספרים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מוחלטים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ספוגים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גבורה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כפירה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יתקנו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ויעוררו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נשמתו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הנרדמת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שפעת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גבורה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ואמונת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אדירה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יונק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מהאפיקורסים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מהכופרים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מעוצמות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המבהילות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ומתרחק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מהמתיקות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העגלגלה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ממחיש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ללבושי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שבקעו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התאספו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וריקודים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נכנסו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לחדר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היכתה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בפוריה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התרחש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הצטרף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למעגל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הרוקדים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סביבו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יקרים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התקרבו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התרחקנו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הישן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לחבק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בזרועות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פתוחות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התקרבו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בדרכי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הפועלים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פצחו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ובריקודים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סוערים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המסתובבים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במהירות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במעגלים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המעגל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בחוויית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לפתע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בבגדי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חלוץ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הרוקדים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ואחריו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חלוץ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החליף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הבגדים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בבגדי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חסידי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סוחף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התדהמה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הריקוד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הסוער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הכריז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אוריד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בגדי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תבטיחו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לכבד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התנדנד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תשישות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נטף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חרל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בדאגה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שזיכני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והגיעני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הברנרי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ברחוב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המטלטלות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להכניס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כשמסתכלים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הכפירה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מצולותיה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טבועים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נשמות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קדושות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בפנימיותם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צועקות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רחמים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הושיעו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והקמים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אביונים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להושיעם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ולמלטם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משחיתותם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עובדי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הנבחרים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גיבורי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עולמים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ממעל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לחפצם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והטומאה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מפניהם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חנינא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דוסא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ואביי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וחביריהם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שהמוקד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מהגיהנום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במאבקים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מתבטאים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המאבקים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האנרכיסטיות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הניצוצות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האקסטזה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המתבטאת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בכתיבה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מההרגשה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בנקודת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הניגודים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המפעמת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בתהליכים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ייסורים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בעמדה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ההתפרקות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סביבו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שמתייסר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מהטלטלות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להוליד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לקליפות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הניצוץ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הקליפה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עוצמות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בהשראה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מתעסק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אלמוני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רלוונטית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מאפשרים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שבחרו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להניע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מהמשבצת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ולמצוא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המשחרר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הכפירה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נוגעת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השחורים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אעזוב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יקלקל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ומשקיע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מתחדשת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ההולכים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ומתגלים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הסערה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יפתור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הקצובות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והמגבילות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והופעת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רעיונותיו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החילונים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לקרוא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מכתמים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נבוכים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תעצומותיהם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לחרוט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ומיטשטש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יצפון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תושיה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להולכי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נגיעות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73</w:t>
      </w:r>
    </w:p>
  </w:footnote>
  <w:footnote w:id="1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כוכבי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קרליבך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9.</w:t>
      </w:r>
    </w:p>
  </w:footnote>
  <w:footnote w:id="3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מלובלין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156. </w:t>
      </w:r>
    </w:p>
  </w:footnote>
  <w:footnote w:id="4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156-158.</w:t>
      </w:r>
    </w:p>
  </w:footnote>
  <w:footnote w:id="5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158.</w:t>
      </w:r>
    </w:p>
  </w:footnote>
  <w:footnote w:id="6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קבצים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אבינועם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רוזנק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120.</w:t>
      </w:r>
    </w:p>
  </w:footnote>
  <w:footnote w:id="9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קבצים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0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חדריו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מהדורה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bidi w:val="1"/>
        <w:spacing w:after="200" w:line="276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1E6F"/>
    <w:pPr>
      <w:suppressAutoHyphens w:val="1"/>
      <w:bidi w:val="1"/>
      <w:spacing w:after="200" w:line="276" w:lineRule="auto"/>
      <w:jc w:val="right"/>
    </w:pPr>
    <w:rPr>
      <w:rFonts w:ascii="Times New Roman" w:cs="Times New Roman" w:eastAsia="Calibri" w:hAnsi="Times New Roman"/>
      <w:lang w:eastAsia="he-IL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CD472C"/>
    <w:pPr>
      <w:tabs>
        <w:tab w:val="center" w:pos="4153"/>
        <w:tab w:val="right" w:pos="8306"/>
      </w:tabs>
      <w:suppressAutoHyphens w:val="0"/>
      <w:spacing w:after="0" w:line="240" w:lineRule="auto"/>
      <w:jc w:val="left"/>
    </w:pPr>
    <w:rPr>
      <w:rFonts w:asciiTheme="minorHAnsi" w:cstheme="minorBidi" w:eastAsiaTheme="minorHAnsi" w:hAnsiTheme="minorHAnsi"/>
      <w:lang w:eastAsia="en-US"/>
    </w:rPr>
  </w:style>
  <w:style w:type="character" w:styleId="a6" w:customStyle="1">
    <w:name w:val="כותרת עליונה תו"/>
    <w:basedOn w:val="a0"/>
    <w:link w:val="a5"/>
    <w:uiPriority w:val="99"/>
    <w:rsid w:val="00CD472C"/>
  </w:style>
  <w:style w:type="paragraph" w:styleId="a7">
    <w:name w:val="footer"/>
    <w:basedOn w:val="a"/>
    <w:link w:val="a8"/>
    <w:uiPriority w:val="99"/>
    <w:unhideWhenUsed w:val="1"/>
    <w:rsid w:val="00CD472C"/>
    <w:pPr>
      <w:tabs>
        <w:tab w:val="center" w:pos="4153"/>
        <w:tab w:val="right" w:pos="8306"/>
      </w:tabs>
      <w:suppressAutoHyphens w:val="0"/>
      <w:spacing w:after="0" w:line="240" w:lineRule="auto"/>
      <w:jc w:val="left"/>
    </w:pPr>
    <w:rPr>
      <w:rFonts w:asciiTheme="minorHAnsi" w:cstheme="minorBidi" w:eastAsiaTheme="minorHAnsi" w:hAnsiTheme="minorHAnsi"/>
      <w:lang w:eastAsia="en-US"/>
    </w:rPr>
  </w:style>
  <w:style w:type="character" w:styleId="a8" w:customStyle="1">
    <w:name w:val="כותרת תחתונה תו"/>
    <w:basedOn w:val="a0"/>
    <w:link w:val="a7"/>
    <w:uiPriority w:val="99"/>
    <w:rsid w:val="00CD472C"/>
  </w:style>
  <w:style w:type="character" w:styleId="a4" w:customStyle="1">
    <w:name w:val="ללא מרווח תו"/>
    <w:link w:val="a3"/>
    <w:locked w:val="1"/>
    <w:rsid w:val="00EA1E6F"/>
  </w:style>
  <w:style w:type="character" w:styleId="a9" w:customStyle="1">
    <w:name w:val="תווי הערת שוליים"/>
    <w:rsid w:val="00EA1E6F"/>
  </w:style>
  <w:style w:type="character" w:styleId="1" w:customStyle="1">
    <w:name w:val="הפניה להערת שוליים1"/>
    <w:rsid w:val="00EA1E6F"/>
    <w:rPr>
      <w:vertAlign w:val="superscript"/>
    </w:rPr>
  </w:style>
  <w:style w:type="character" w:styleId="aa">
    <w:name w:val="footnote reference"/>
    <w:aliases w:val="Footnote Reference1"/>
    <w:qFormat w:val="1"/>
    <w:rsid w:val="00EA1E6F"/>
    <w:rPr>
      <w:vertAlign w:val="superscript"/>
    </w:rPr>
  </w:style>
  <w:style w:type="paragraph" w:styleId="ab">
    <w:name w:val="footnote text"/>
    <w:aliases w:val="Footnote Text Char Char Char,Footnote Text Char Char,Footnote Text Char Char Char Char"/>
    <w:basedOn w:val="a"/>
    <w:link w:val="ac"/>
    <w:semiHidden w:val="1"/>
    <w:unhideWhenUsed w:val="1"/>
    <w:rsid w:val="00EA1E6F"/>
    <w:pPr>
      <w:suppressAutoHyphens w:val="0"/>
      <w:spacing w:after="0" w:line="240" w:lineRule="auto"/>
      <w:jc w:val="left"/>
    </w:pPr>
    <w:rPr>
      <w:rFonts w:ascii="Calibri" w:cs="Arial" w:eastAsia="Times New Roman" w:hAnsi="Calibri"/>
      <w:sz w:val="20"/>
      <w:szCs w:val="20"/>
      <w:lang w:eastAsia="en-US"/>
    </w:rPr>
  </w:style>
  <w:style w:type="character" w:styleId="ac" w:customStyle="1">
    <w:name w:val="טקסט הערת שוליים תו"/>
    <w:aliases w:val="Footnote Text Char Char Char תו,Footnote Text Char Char תו,Footnote Text Char Char Char Char תו"/>
    <w:basedOn w:val="a0"/>
    <w:link w:val="ab"/>
    <w:semiHidden w:val="1"/>
    <w:rsid w:val="00EA1E6F"/>
    <w:rPr>
      <w:rFonts w:ascii="Calibri" w:cs="Arial" w:eastAsia="Times New Roman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2019-02-26T18:54:00Z</dcterms:created>
  <dc:creator>יאיר דרייפוס</dc:creator>
</cp:coreProperties>
</file>